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1"/>
    <w:p>
      <w:pPr>
        <w:pStyle w:val="Heading1"/>
      </w:pPr>
      <w:r>
        <w:t xml:space="preserve">Homiletics Analysis: Psalms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31 is a sustained individual lament that moves through three emotional registers without resolution in any simple sense: urgent petition in the face of mortal danger (vv. 1–8), deepening anguish as the threat intensifies and community abandons (vv. 9–18), and a sudden pivot to confident praise and corporate exhortation (vv. 19–24). David opens by fleeing to the LORD as his rock and fortress, surrendering his spirit into divine hands (v. 5 — the verse Jesus will appropriate on the cross). The middle section is among the most harrowing in the Psalter: physical deterioration, social ostracism, being forgotten like a dead man, active slander from enemies. Yet the psalmist does not stay there. The pivot in verse 14 —</w:t>
      </w:r>
      <w:r>
        <w:t xml:space="preserve"> </w:t>
      </w:r>
      <w:r>
        <w:t xml:space="preserve">“But I trust in you, O LORD; I say,</w:t>
      </w:r>
      <w:r>
        <w:t xml:space="preserve"> </w:t>
      </w:r>
      <w:r>
        <w:t xml:space="preserve">‘You are my God’</w:t>
      </w:r>
      <w:r>
        <w:t xml:space="preserve">”</w:t>
      </w:r>
      <w:r>
        <w:t xml:space="preserve"> </w:t>
      </w:r>
      <w:r>
        <w:t xml:space="preserve">— is volitional and confessional, not emotional. It does not claim the anguish is resolved; it claims that despite the anguish, the psalmist has made a deliberate determination about who holds his times. The psalm closes with David calling the congregation to corporate praise and to courageous hope, having validated that call by passing through the valley himself.</w:t>
      </w:r>
    </w:p>
    <w:p>
      <w:pPr>
        <w:pStyle w:val="BodyText"/>
      </w:pPr>
      <w:r>
        <w:rPr>
          <w:b/>
          <w:bCs/>
        </w:rPr>
        <w:t xml:space="preserve">This Text — Intent</w:t>
      </w:r>
    </w:p>
    <w:p>
      <w:pPr>
        <w:pStyle w:val="BodyText"/>
      </w:pPr>
      <w:r>
        <w:t xml:space="preserve">God is seeking to give His people a vocabulary and a pathway for trusting Him under pressure that does not require the pressure to lift first. The psalm teaches the congregation to take refuge</w:t>
      </w:r>
      <w:r>
        <w:t xml:space="preserve"> </w:t>
      </w:r>
      <w:r>
        <w:rPr>
          <w:i/>
          <w:iCs/>
        </w:rPr>
        <w:t xml:space="preserve">before</w:t>
      </w:r>
      <w:r>
        <w:t xml:space="preserve"> </w:t>
      </w:r>
      <w:r>
        <w:t xml:space="preserve">the crisis resolves, to speak confession</w:t>
      </w:r>
      <w:r>
        <w:t xml:space="preserve"> </w:t>
      </w:r>
      <w:r>
        <w:rPr>
          <w:i/>
          <w:iCs/>
        </w:rPr>
        <w:t xml:space="preserve">into</w:t>
      </w:r>
      <w:r>
        <w:t xml:space="preserve"> </w:t>
      </w:r>
      <w:r>
        <w:t xml:space="preserve">the darkness, and to emerge on the other side not with a testimony of easy deliverance but of God’s faithfulness through the worst. The intent is double: personal formation (the individual learns the grammar of lament-to-trust) and corporate formation (the individual’s passage through the valley becomes the basis for calling others to courage). The psalm models that trust is not an emotional state but a confession, and that the congregation is built up by those who have suffered and arrived at praise, not those who have only ever been comfortable.</w:t>
      </w:r>
    </w:p>
    <w:p>
      <w:r>
        <w:pict>
          <v:rect style="width:0;height:1.5pt" o:hralign="center" o:hrstd="t" o:hr="t"/>
        </w:pict>
      </w:r>
    </w:p>
    <w:p>
      <w:pPr>
        <w:pStyle w:val="FirstParagraph"/>
      </w:pPr>
      <w:r>
        <w:rPr>
          <w:b/>
          <w:bCs/>
        </w:rPr>
        <w:t xml:space="preserve">Subject Sentence:</w:t>
      </w:r>
      <w:r>
        <w:t xml:space="preserve"> </w:t>
      </w:r>
      <w:r>
        <w:t xml:space="preserve">The LORD as sovereign refuge receives the trust of His people even through unresolved suffering and abandonment.</w:t>
      </w:r>
    </w:p>
    <w:p>
      <w:r>
        <w:pict>
          <v:rect style="width:0;height:1.5pt" o:hralign="center" o:hrstd="t" o:hr="t"/>
        </w:pict>
      </w:r>
    </w:p>
    <w:p>
      <w:pPr>
        <w:pStyle w:val="FirstParagraph"/>
      </w:pPr>
      <w:r>
        <w:rPr>
          <w:b/>
          <w:bCs/>
        </w:rPr>
        <w:t xml:space="preserve">Primary Claim:</w:t>
      </w:r>
      <w:r>
        <w:t xml:space="preserve"> </w:t>
      </w:r>
      <w:r>
        <w:t xml:space="preserve">God is calling His people to take refuge in Him — not after the darkness lifts, but as a volitional confession</w:t>
      </w:r>
      <w:r>
        <w:t xml:space="preserve"> </w:t>
      </w:r>
      <w:r>
        <w:rPr>
          <w:i/>
          <w:iCs/>
        </w:rPr>
        <w:t xml:space="preserve">within</w:t>
      </w:r>
      <w:r>
        <w:t xml:space="preserve"> </w:t>
      </w:r>
      <w:r>
        <w:t xml:space="preserve">it — because He holds their times and will not abandon those who cry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pivot in verse 14 and the nature of trust</w:t>
      </w:r>
    </w:p>
    <w:p>
      <w:pPr>
        <w:pStyle w:val="BodyText"/>
      </w:pPr>
      <w:r>
        <w:t xml:space="preserve">The central interpretive question in Psalm 31 is whether the psalm’s movement from lament (vv. 9–18) to praise (vv. 19–24) reflects a change in circumstances or a change in orientation. Some popular-level readings and much contemporary worship culture read the praise section as implying that David’s situation improved — that the darkness lifted and</w:t>
      </w:r>
      <w:r>
        <w:t xml:space="preserve"> </w:t>
      </w:r>
      <w:r>
        <w:rPr>
          <w:i/>
          <w:iCs/>
        </w:rPr>
        <w:t xml:space="preserve">then</w:t>
      </w:r>
      <w:r>
        <w:t xml:space="preserve"> </w:t>
      </w:r>
      <w:r>
        <w:t xml:space="preserve">he praised. This reading domesticates the psalm and strips it of its most important feature: the pivot in verse 14 is grammatically and emotionally mid-crisis.</w:t>
      </w:r>
      <w:r>
        <w:t xml:space="preserve"> </w:t>
      </w:r>
      <w:r>
        <w:t xml:space="preserve">“But I trust in you”</w:t>
      </w:r>
      <w:r>
        <w:t xml:space="preserve"> </w:t>
      </w:r>
      <w:r>
        <w:t xml:space="preserve">(</w:t>
      </w:r>
      <w:r>
        <w:rPr>
          <w:i/>
          <w:iCs/>
        </w:rPr>
        <w:t xml:space="preserve">wᵃʾănî bāṭaḥtî</w:t>
      </w:r>
      <w:r>
        <w:t xml:space="preserve">) does not follow deliverance; it precedes the petition for deliverance (vv. 15–18). The praise in verses 19–24 is proleptic and confessional — it anticipates God’s faithfulness on the basis of His character, not on the basis of circumstances already changed. The Reformed reading insists on this: trust is a confession before it is an experience, and the psalm is teaching that grammar.</w:t>
      </w:r>
    </w:p>
    <w:p>
      <w:pPr>
        <w:pStyle w:val="BodyText"/>
      </w:pPr>
      <w:r>
        <w:rPr>
          <w:b/>
          <w:bCs/>
        </w:rPr>
        <w:t xml:space="preserve">The Arminian/Wesleyan reading — human resolve and the decision to trust</w:t>
      </w:r>
    </w:p>
    <w:p>
      <w:pPr>
        <w:pStyle w:val="BodyText"/>
      </w:pPr>
      <w:r>
        <w:t xml:space="preserve">Wesleyan-Arminian exposition of this psalm often places significant weight on the human decision in verse 14 — David</w:t>
      </w:r>
      <w:r>
        <w:t xml:space="preserve"> </w:t>
      </w:r>
      <w:r>
        <w:rPr>
          <w:i/>
          <w:iCs/>
        </w:rPr>
        <w:t xml:space="preserve">choosing</w:t>
      </w:r>
      <w:r>
        <w:t xml:space="preserve"> </w:t>
      </w:r>
      <w:r>
        <w:t xml:space="preserve">to trust, as an act of the will that God then honors. This reading is not wrong, but it is incomplete. The decision to trust in verse 14 is not presented as the cause of God’s faithfulness but as the appropriate response to it — the psalmist trusts because God is already the God who shelters (vv. 19–20), already the God who has heard (v. 22). The volition is real (Reformed theology does not deny the reality of human response), but the ground of confidence is not David’s resolve but the LORD’s character.</w:t>
      </w:r>
      <w:r>
        <w:t xml:space="preserve"> </w:t>
      </w:r>
      <w:r>
        <w:rPr>
          <w:b/>
          <w:bCs/>
        </w:rPr>
        <w:t xml:space="preserve">Acknowledge</w:t>
      </w:r>
      <w:r>
        <w:t xml:space="preserve"> </w:t>
      </w:r>
      <w:r>
        <w:t xml:space="preserve">the genuine insight: verse 14 is indeed a volitional act, and the psalm commends it.</w:t>
      </w:r>
      <w:r>
        <w:t xml:space="preserve"> </w:t>
      </w:r>
      <w:r>
        <w:rPr>
          <w:b/>
          <w:bCs/>
        </w:rPr>
        <w:t xml:space="preserve">Qualify</w:t>
      </w:r>
      <w:r>
        <w:t xml:space="preserve"> </w:t>
      </w:r>
      <w:r>
        <w:t xml:space="preserve">the Wesleyan framing: the act of trust is responsive to divine faithfulness, not causative of it.</w:t>
      </w:r>
    </w:p>
    <w:p>
      <w:pPr>
        <w:pStyle w:val="BodyText"/>
      </w:pPr>
      <w:r>
        <w:rPr>
          <w:b/>
          <w:bCs/>
        </w:rPr>
        <w:t xml:space="preserve">Charismatic/experiential readings — the praise as proof of breakthrough</w:t>
      </w:r>
    </w:p>
    <w:p>
      <w:pPr>
        <w:pStyle w:val="BodyText"/>
      </w:pPr>
      <w:r>
        <w:t xml:space="preserve">Some Pentecostal and charismatic exposition reads Psalm 31 as a template for</w:t>
      </w:r>
      <w:r>
        <w:t xml:space="preserve"> </w:t>
      </w:r>
      <w:r>
        <w:t xml:space="preserve">“breaking through”</w:t>
      </w:r>
      <w:r>
        <w:t xml:space="preserve"> </w:t>
      </w:r>
      <w:r>
        <w:t xml:space="preserve">in prayer: if you press through the lament long enough, God will move and the praise of verses 19–24 represents that experiential breakthrough. This reading is not without pastoral appeal, but it misreads the psalm’s structure. The pivot is not experiential — it is confessional. David does not say</w:t>
      </w:r>
      <w:r>
        <w:t xml:space="preserve"> </w:t>
      </w:r>
      <w:r>
        <w:t xml:space="preserve">“the LORD has now removed my enemies”</w:t>
      </w:r>
      <w:r>
        <w:t xml:space="preserve">; he says</w:t>
      </w:r>
      <w:r>
        <w:t xml:space="preserve"> </w:t>
      </w:r>
      <w:r>
        <w:t xml:space="preserve">“my times are in your hand”</w:t>
      </w:r>
      <w:r>
        <w:t xml:space="preserve"> </w:t>
      </w:r>
      <w:r>
        <w:t xml:space="preserve">(v. 15). This is a statement of theological conviction, not emotional arrival. The pitfall of the breakthrough reading is that it makes praise contingent on changed circumstances rather than on the character of God — which means people who do not experience the breakthrough conclude either that they did not trust hard enough or that God did not show up. The psalm explicitly counters this: praise precedes observable deliverance.</w:t>
      </w:r>
      <w:r>
        <w:t xml:space="preserve"> </w:t>
      </w:r>
      <w:r>
        <w:rPr>
          <w:b/>
          <w:bCs/>
        </w:rPr>
        <w:t xml:space="preserve">Refute</w:t>
      </w:r>
      <w:r>
        <w:t xml:space="preserve"> </w:t>
      </w:r>
      <w:r>
        <w:t xml:space="preserve">the experiential-breakthrough reading at its core, while acknowledging it rightly sees that the psalm moves forward and does not remain permanently in the pit.</w:t>
      </w:r>
    </w:p>
    <w:p>
      <w:pPr>
        <w:pStyle w:val="BodyText"/>
      </w:pPr>
      <w:r>
        <w:rPr>
          <w:b/>
          <w:bCs/>
        </w:rPr>
        <w:t xml:space="preserve">Christological reading — verse 5 on the cross</w:t>
      </w:r>
    </w:p>
    <w:p>
      <w:pPr>
        <w:pStyle w:val="BodyText"/>
      </w:pPr>
      <w:r>
        <w:t xml:space="preserve">Luke 23:46 records Jesus praying verse 5 as His final words. This is not incidental. Jesus, as the fulfillment of Israel’s covenant faithfulness, takes the lament of His people to its ultimate depth — abandoned, physically spent, socially humiliated, slandered — and surrenders Himself into the Father’s hands from within that darkness. The Reformed reading embraces the full Christological weight: the psalm is not merely David’s experience, nor merely a template for believers, but a foreshadowing of the Son of God’s own passage through forsakenness to vindication. This does not eliminate the psalm’s direct application to believers but deepens it: believers share in Christ’s pattern of dying-and-rising, lament-and-vindication, and Psalm 31 maps that pattern.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23:46</w:t>
      </w:r>
      <w:r>
        <w:t xml:space="preserve"> </w:t>
      </w:r>
      <w:r>
        <w:t xml:space="preserve">— Jesus quotes Psalm 31:5 from the cross, identifying Himself with the suffering psalmist and establishing that the ultimate</w:t>
      </w:r>
      <w:r>
        <w:t xml:space="preserve"> </w:t>
      </w:r>
      <w:r>
        <w:t xml:space="preserve">“refuge in the Father’s hands”</w:t>
      </w:r>
      <w:r>
        <w:t xml:space="preserve"> </w:t>
      </w:r>
      <w:r>
        <w:t xml:space="preserve">is Christ’s own death and resurrection. This is the definitive canonical lens for the psalm.</w:t>
      </w:r>
    </w:p>
    <w:p>
      <w:pPr>
        <w:numPr>
          <w:ilvl w:val="0"/>
          <w:numId w:val="1001"/>
        </w:numPr>
      </w:pPr>
      <w:r>
        <w:rPr>
          <w:b/>
          <w:bCs/>
        </w:rPr>
        <w:t xml:space="preserve">Romans 8:35–39</w:t>
      </w:r>
      <w:r>
        <w:t xml:space="preserve"> </w:t>
      </w:r>
      <w:r>
        <w:t xml:space="preserve">— Paul’s declaration that nothing can separate us from the love of Christ directly answers the abandoned, socially isolated condition of Psalm 31:9–13; the theological ground is the same — God’s sovereign love holds the believer in the worst.</w:t>
      </w:r>
    </w:p>
    <w:p>
      <w:pPr>
        <w:numPr>
          <w:ilvl w:val="0"/>
          <w:numId w:val="1001"/>
        </w:numPr>
      </w:pPr>
      <w:r>
        <w:rPr>
          <w:b/>
          <w:bCs/>
        </w:rPr>
        <w:t xml:space="preserve">Lamentations 3:19–26</w:t>
      </w:r>
      <w:r>
        <w:t xml:space="preserve"> </w:t>
      </w:r>
      <w:r>
        <w:t xml:space="preserve">— Jeremiah’s</w:t>
      </w:r>
      <w:r>
        <w:t xml:space="preserve"> </w:t>
      </w:r>
      <w:r>
        <w:t xml:space="preserve">“yet this I call to mind and therefore I have hope”</w:t>
      </w:r>
      <w:r>
        <w:t xml:space="preserve"> </w:t>
      </w:r>
      <w:r>
        <w:t xml:space="preserve">models the same volitional pivot as Psalm 31:14 — making the confession of God’s faithfulness within, not after, the darkness.</w:t>
      </w:r>
    </w:p>
    <w:p>
      <w:pPr>
        <w:numPr>
          <w:ilvl w:val="0"/>
          <w:numId w:val="1001"/>
        </w:numPr>
      </w:pPr>
      <w:r>
        <w:rPr>
          <w:b/>
          <w:bCs/>
        </w:rPr>
        <w:t xml:space="preserve">2 Corinthians 1:3–10</w:t>
      </w:r>
      <w:r>
        <w:t xml:space="preserve"> </w:t>
      </w:r>
      <w:r>
        <w:t xml:space="preserve">— Paul’s theology of comfort-through-suffering: those who have been in the depths of despair are equipped to comfort others, directly paralleling Psalm 31:19–24’s movement from personal lament to corporate exhortation.</w:t>
      </w:r>
    </w:p>
    <w:p>
      <w:pPr>
        <w:numPr>
          <w:ilvl w:val="0"/>
          <w:numId w:val="1001"/>
        </w:numPr>
      </w:pPr>
      <w:r>
        <w:rPr>
          <w:b/>
          <w:bCs/>
        </w:rPr>
        <w:t xml:space="preserve">Isaiah 25:4</w:t>
      </w:r>
      <w:r>
        <w:t xml:space="preserve"> </w:t>
      </w:r>
      <w:r>
        <w:t xml:space="preserve">—</w:t>
      </w:r>
      <w:r>
        <w:t xml:space="preserve"> </w:t>
      </w:r>
      <w:r>
        <w:t xml:space="preserve">“You have been a refuge for the poor, a refuge for the needy in his distress”</w:t>
      </w:r>
      <w:r>
        <w:t xml:space="preserve"> </w:t>
      </w:r>
      <w:r>
        <w:t xml:space="preserve">— the prophetic grounding of God as fortress and refuge that Psalm 31 assumes and applies.</w:t>
      </w:r>
    </w:p>
    <w:p>
      <w:r>
        <w:pict>
          <v:rect style="width:0;height:1.5pt" o:hralign="center" o:hrstd="t" o:hr="t"/>
        </w:pict>
      </w:r>
    </w:p>
    <w:p>
      <w:pPr>
        <w:pStyle w:val="FirstParagraph"/>
      </w:pPr>
      <w:r>
        <w:rPr>
          <w:b/>
          <w:bCs/>
        </w:rPr>
        <w:t xml:space="preserve">Aim:</w:t>
      </w:r>
      <w:r>
        <w:t xml:space="preserve"> </w:t>
      </w:r>
      <w:r>
        <w:t xml:space="preserve">To show that genuine trust in God is a volitional confession made</w:t>
      </w:r>
      <w:r>
        <w:t xml:space="preserve"> </w:t>
      </w:r>
      <w:r>
        <w:rPr>
          <w:i/>
          <w:iCs/>
        </w:rPr>
        <w:t xml:space="preserve">within</w:t>
      </w:r>
      <w:r>
        <w:t xml:space="preserve"> </w:t>
      </w:r>
      <w:r>
        <w:t xml:space="preserve">suffering — not a feeling that follows deliverance — and to equip the reader to make that confession, as David and Christ made it before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petition:</w:t>
            </w:r>
            <w:r>
              <w:t xml:space="preserve"> </w:t>
            </w:r>
            <w:r>
              <w:t xml:space="preserve">“In you I take refuge”</w:t>
            </w:r>
            <w:r>
              <w:t xml:space="preserve"> </w:t>
            </w:r>
            <w:r>
              <w:t xml:space="preserve">— call for rescue, a rock of refuge, a strong fortress</w:t>
            </w:r>
          </w:p>
        </w:tc>
        <w:tc>
          <w:tcPr/>
          <w:p>
            <w:pPr>
              <w:pStyle w:val="Compact"/>
            </w:pPr>
            <w:r>
              <w:t xml:space="preserve">Sets the governing metaphor: God as rock/fortress; the cry precedes any deliverance</w:t>
            </w:r>
          </w:p>
        </w:tc>
      </w:tr>
      <w:tr>
        <w:tc>
          <w:tcPr/>
          <w:p>
            <w:pPr>
              <w:pStyle w:val="Compact"/>
            </w:pPr>
            <w:r>
              <w:t xml:space="preserve">3–4</w:t>
            </w:r>
          </w:p>
        </w:tc>
        <w:tc>
          <w:tcPr/>
          <w:p>
            <w:pPr>
              <w:pStyle w:val="Compact"/>
            </w:pPr>
            <w:r>
              <w:t xml:space="preserve">Basis of petition: God’s own name and character — He leads, guides, pulls from the net</w:t>
            </w:r>
          </w:p>
        </w:tc>
        <w:tc>
          <w:tcPr/>
          <w:p>
            <w:pPr>
              <w:pStyle w:val="Compact"/>
            </w:pPr>
            <w:r>
              <w:t xml:space="preserve">The appeal is not to David’s merit but to God’s name; covenant confidence</w:t>
            </w:r>
          </w:p>
        </w:tc>
      </w:tr>
      <w:tr>
        <w:tc>
          <w:tcPr/>
          <w:p>
            <w:pPr>
              <w:pStyle w:val="Compact"/>
            </w:pPr>
            <w:r>
              <w:t xml:space="preserve">5</w:t>
            </w:r>
          </w:p>
        </w:tc>
        <w:tc>
          <w:tcPr/>
          <w:p>
            <w:pPr>
              <w:pStyle w:val="Compact"/>
            </w:pPr>
            <w:r>
              <w:t xml:space="preserve">Surrender of spirit:</w:t>
            </w:r>
            <w:r>
              <w:t xml:space="preserve"> </w:t>
            </w:r>
            <w:r>
              <w:t xml:space="preserve">“Into your hand I commit my spirit; you have redeemed me, O LORD, faithful God”</w:t>
            </w:r>
          </w:p>
        </w:tc>
        <w:tc>
          <w:tcPr/>
          <w:p>
            <w:pPr>
              <w:pStyle w:val="Compact"/>
            </w:pPr>
            <w:r>
              <w:t xml:space="preserve">The Christological verse (Luke 23:46); trust is expressed as</w:t>
            </w:r>
            <w:r>
              <w:t xml:space="preserve"> </w:t>
            </w:r>
            <w:r>
              <w:rPr>
                <w:i/>
                <w:iCs/>
              </w:rPr>
              <w:t xml:space="preserve">surrender</w:t>
            </w:r>
            <w:r>
              <w:t xml:space="preserve">, not demand</w:t>
            </w:r>
          </w:p>
        </w:tc>
      </w:tr>
      <w:tr>
        <w:tc>
          <w:tcPr/>
          <w:p>
            <w:pPr>
              <w:pStyle w:val="Compact"/>
            </w:pPr>
            <w:r>
              <w:t xml:space="preserve">6–8</w:t>
            </w:r>
          </w:p>
        </w:tc>
        <w:tc>
          <w:tcPr/>
          <w:p>
            <w:pPr>
              <w:pStyle w:val="Compact"/>
            </w:pPr>
            <w:r>
              <w:t xml:space="preserve">Contrast: David hates those who trust in worthless idols; God’s steadfast love (ḥesed) is the alternative; affirmation that God has seen the affliction and not handed him over</w:t>
            </w:r>
          </w:p>
        </w:tc>
        <w:tc>
          <w:tcPr/>
          <w:p>
            <w:pPr>
              <w:pStyle w:val="Compact"/>
            </w:pPr>
            <w:r>
              <w:t xml:space="preserve">Idol-diagnosis: the contrast is between refuge in God and refuge in vanities</w:t>
            </w:r>
          </w:p>
        </w:tc>
      </w:tr>
      <w:tr>
        <w:tc>
          <w:tcPr/>
          <w:p>
            <w:pPr>
              <w:pStyle w:val="Compact"/>
            </w:pPr>
            <w:r>
              <w:t xml:space="preserve">9–10</w:t>
            </w:r>
          </w:p>
        </w:tc>
        <w:tc>
          <w:tcPr/>
          <w:p>
            <w:pPr>
              <w:pStyle w:val="Compact"/>
            </w:pPr>
            <w:r>
              <w:t xml:space="preserve">Lament intensifies:</w:t>
            </w:r>
            <w:r>
              <w:t xml:space="preserve"> </w:t>
            </w:r>
            <w:r>
              <w:t xml:space="preserve">“Be gracious to me, O LORD, for I am in distress”</w:t>
            </w:r>
            <w:r>
              <w:t xml:space="preserve"> </w:t>
            </w:r>
            <w:r>
              <w:t xml:space="preserve">— eyes, soul, and body all wasting</w:t>
            </w:r>
          </w:p>
        </w:tc>
        <w:tc>
          <w:tcPr/>
          <w:p>
            <w:pPr>
              <w:pStyle w:val="Compact"/>
            </w:pPr>
            <w:r>
              <w:t xml:space="preserve">Physical deterioration mirrors spiritual and emotional anguish; the body is not split from the soul in Hebrew anthropology</w:t>
            </w:r>
          </w:p>
        </w:tc>
      </w:tr>
      <w:tr>
        <w:tc>
          <w:tcPr/>
          <w:p>
            <w:pPr>
              <w:pStyle w:val="Compact"/>
            </w:pPr>
            <w:r>
              <w:t xml:space="preserve">11–12</w:t>
            </w:r>
          </w:p>
        </w:tc>
        <w:tc>
          <w:tcPr/>
          <w:p>
            <w:pPr>
              <w:pStyle w:val="Compact"/>
            </w:pPr>
            <w:r>
              <w:t xml:space="preserve">Social dimension of suffering: reproach, terror to neighbors, forgotten like a dead man, like a broken vessel</w:t>
            </w:r>
          </w:p>
        </w:tc>
        <w:tc>
          <w:tcPr/>
          <w:p>
            <w:pPr>
              <w:pStyle w:val="Compact"/>
            </w:pPr>
            <w:r>
              <w:t xml:space="preserve">This is the deepest valley of the psalm — not just physical suffering but communal abandonment</w:t>
            </w:r>
          </w:p>
        </w:tc>
      </w:tr>
      <w:tr>
        <w:tc>
          <w:tcPr/>
          <w:p>
            <w:pPr>
              <w:pStyle w:val="Compact"/>
            </w:pPr>
            <w:r>
              <w:t xml:space="preserve">13</w:t>
            </w:r>
          </w:p>
        </w:tc>
        <w:tc>
          <w:tcPr/>
          <w:p>
            <w:pPr>
              <w:pStyle w:val="Compact"/>
            </w:pPr>
            <w:r>
              <w:t xml:space="preserve">The threat specified: slander, conspiracy, schemes against his life</w:t>
            </w:r>
          </w:p>
        </w:tc>
        <w:tc>
          <w:tcPr/>
          <w:p>
            <w:pPr>
              <w:pStyle w:val="Compact"/>
            </w:pPr>
            <w:r>
              <w:t xml:space="preserve">Enemy action is not vague — it is active, organized, lethal</w:t>
            </w:r>
          </w:p>
        </w:tc>
      </w:tr>
      <w:tr>
        <w:tc>
          <w:tcPr/>
          <w:p>
            <w:pPr>
              <w:pStyle w:val="Compact"/>
            </w:pPr>
            <w:r>
              <w:t xml:space="preserve">14</w:t>
            </w:r>
          </w:p>
        </w:tc>
        <w:tc>
          <w:tcPr/>
          <w:p>
            <w:pPr>
              <w:pStyle w:val="Compact"/>
            </w:pPr>
            <w:r>
              <w:t xml:space="preserve">The pivot:</w:t>
            </w:r>
            <w:r>
              <w:t xml:space="preserve"> </w:t>
            </w:r>
            <w:r>
              <w:t xml:space="preserve">“But I trust in you, O LORD; I say,</w:t>
            </w:r>
            <w:r>
              <w:t xml:space="preserve"> </w:t>
            </w:r>
            <w:r>
              <w:t xml:space="preserve">‘You are my God’</w:t>
            </w:r>
            <w:r>
              <w:t xml:space="preserve">”</w:t>
            </w:r>
          </w:p>
        </w:tc>
        <w:tc>
          <w:tcPr/>
          <w:p>
            <w:pPr>
              <w:pStyle w:val="Compact"/>
            </w:pPr>
            <w:r>
              <w:rPr>
                <w:i/>
                <w:iCs/>
              </w:rPr>
              <w:t xml:space="preserve">Wᵃʾănî</w:t>
            </w:r>
            <w:r>
              <w:t xml:space="preserve"> </w:t>
            </w:r>
            <w:r>
              <w:t xml:space="preserve">—</w:t>
            </w:r>
            <w:r>
              <w:t xml:space="preserve"> </w:t>
            </w:r>
            <w:r>
              <w:t xml:space="preserve">“But as for me”</w:t>
            </w:r>
            <w:r>
              <w:t xml:space="preserve"> </w:t>
            </w:r>
            <w:r>
              <w:t xml:space="preserve">— the volitional, confessional turn; grammatically mid-crisis</w:t>
            </w:r>
          </w:p>
        </w:tc>
      </w:tr>
      <w:tr>
        <w:tc>
          <w:tcPr/>
          <w:p>
            <w:pPr>
              <w:pStyle w:val="Compact"/>
            </w:pPr>
            <w:r>
              <w:t xml:space="preserve">15</w:t>
            </w:r>
          </w:p>
        </w:tc>
        <w:tc>
          <w:tcPr/>
          <w:p>
            <w:pPr>
              <w:pStyle w:val="Compact"/>
            </w:pPr>
            <w:r>
              <w:t xml:space="preserve">“My times are in your hand”</w:t>
            </w:r>
            <w:r>
              <w:t xml:space="preserve"> </w:t>
            </w:r>
            <w:r>
              <w:t xml:space="preserve">— petition for rescue from enemies</w:t>
            </w:r>
          </w:p>
        </w:tc>
        <w:tc>
          <w:tcPr/>
          <w:p>
            <w:pPr>
              <w:pStyle w:val="Compact"/>
            </w:pPr>
            <w:r>
              <w:t xml:space="preserve">Sovereignty confession: God governs the timing and outcome; this is not fatalism but trust</w:t>
            </w:r>
          </w:p>
        </w:tc>
      </w:tr>
      <w:tr>
        <w:tc>
          <w:tcPr/>
          <w:p>
            <w:pPr>
              <w:pStyle w:val="Compact"/>
            </w:pPr>
            <w:r>
              <w:t xml:space="preserve">16–18</w:t>
            </w:r>
          </w:p>
        </w:tc>
        <w:tc>
          <w:tcPr/>
          <w:p>
            <w:pPr>
              <w:pStyle w:val="Compact"/>
            </w:pPr>
            <w:r>
              <w:t xml:space="preserve">Petition for God’s face to shine, for steadfast love to save; shame on the wicked; silence to the liars</w:t>
            </w:r>
          </w:p>
        </w:tc>
        <w:tc>
          <w:tcPr/>
          <w:p>
            <w:pPr>
              <w:pStyle w:val="Compact"/>
            </w:pPr>
            <w:r>
              <w:t xml:space="preserve">The petition flows naturally from the sovereignty confession; prayer is now grounded</w:t>
            </w:r>
          </w:p>
        </w:tc>
      </w:tr>
      <w:tr>
        <w:tc>
          <w:tcPr/>
          <w:p>
            <w:pPr>
              <w:pStyle w:val="Compact"/>
            </w:pPr>
            <w:r>
              <w:t xml:space="preserve">19–20</w:t>
            </w:r>
          </w:p>
        </w:tc>
        <w:tc>
          <w:tcPr/>
          <w:p>
            <w:pPr>
              <w:pStyle w:val="Compact"/>
            </w:pPr>
            <w:r>
              <w:t xml:space="preserve">Praise: the abundance of God’s goodness stored up for those who fear Him; shelter in His presence</w:t>
            </w:r>
          </w:p>
        </w:tc>
        <w:tc>
          <w:tcPr/>
          <w:p>
            <w:pPr>
              <w:pStyle w:val="Compact"/>
            </w:pPr>
            <w:r>
              <w:t xml:space="preserve">The</w:t>
            </w:r>
            <w:r>
              <w:t xml:space="preserve"> </w:t>
            </w:r>
            <w:r>
              <w:t xml:space="preserve">“stored up”</w:t>
            </w:r>
            <w:r>
              <w:t xml:space="preserve"> </w:t>
            </w:r>
            <w:r>
              <w:t xml:space="preserve">language implies advance provision — grace prepared before the need arose</w:t>
            </w:r>
          </w:p>
        </w:tc>
      </w:tr>
      <w:tr>
        <w:tc>
          <w:tcPr/>
          <w:p>
            <w:pPr>
              <w:pStyle w:val="Compact"/>
            </w:pPr>
            <w:r>
              <w:t xml:space="preserve">21–22</w:t>
            </w:r>
          </w:p>
        </w:tc>
        <w:tc>
          <w:tcPr/>
          <w:p>
            <w:pPr>
              <w:pStyle w:val="Compact"/>
            </w:pPr>
            <w:r>
              <w:t xml:space="preserve">Personal testimony:</w:t>
            </w:r>
            <w:r>
              <w:t xml:space="preserve"> </w:t>
            </w:r>
            <w:r>
              <w:t xml:space="preserve">“Blessed be the LORD, for He has wondrously shown His steadfast love to me in a besieged city”</w:t>
            </w:r>
          </w:p>
        </w:tc>
        <w:tc>
          <w:tcPr/>
          <w:p>
            <w:pPr>
              <w:pStyle w:val="Compact"/>
            </w:pPr>
            <w:r>
              <w:t xml:space="preserve">Even when cut off (</w:t>
            </w:r>
            <w:r>
              <w:t xml:space="preserve">“in a besieged city”</w:t>
            </w:r>
            <w:r>
              <w:t xml:space="preserve">), the LORD heard; the moment of despair becomes the occasion for witness</w:t>
            </w:r>
          </w:p>
        </w:tc>
      </w:tr>
      <w:tr>
        <w:tc>
          <w:tcPr/>
          <w:p>
            <w:pPr>
              <w:pStyle w:val="Compact"/>
            </w:pPr>
            <w:r>
              <w:t xml:space="preserve">23</w:t>
            </w:r>
          </w:p>
        </w:tc>
        <w:tc>
          <w:tcPr/>
          <w:p>
            <w:pPr>
              <w:pStyle w:val="Compact"/>
            </w:pPr>
            <w:r>
              <w:t xml:space="preserve">Corporate exhortation:</w:t>
            </w:r>
            <w:r>
              <w:t xml:space="preserve"> </w:t>
            </w:r>
            <w:r>
              <w:t xml:space="preserve">“Love the LORD, all you His saints! The LORD preserves the faithful”</w:t>
            </w:r>
          </w:p>
        </w:tc>
        <w:tc>
          <w:tcPr/>
          <w:p>
            <w:pPr>
              <w:pStyle w:val="Compact"/>
            </w:pPr>
            <w:r>
              <w:t xml:space="preserve">David’s personal experience becomes the basis for a corporate call; individual suffering becomes communal resource</w:t>
            </w:r>
          </w:p>
        </w:tc>
      </w:tr>
      <w:tr>
        <w:tc>
          <w:tcPr/>
          <w:p>
            <w:pPr>
              <w:pStyle w:val="Compact"/>
            </w:pPr>
            <w:r>
              <w:t xml:space="preserve">24</w:t>
            </w:r>
          </w:p>
        </w:tc>
        <w:tc>
          <w:tcPr/>
          <w:p>
            <w:pPr>
              <w:pStyle w:val="Compact"/>
            </w:pPr>
            <w:r>
              <w:t xml:space="preserve">Closing charge:</w:t>
            </w:r>
            <w:r>
              <w:t xml:space="preserve"> </w:t>
            </w:r>
            <w:r>
              <w:t xml:space="preserve">“Be strong, and let your heart take courage, all you who wait for the LORD”</w:t>
            </w:r>
          </w:p>
        </w:tc>
        <w:tc>
          <w:tcPr/>
          <w:p>
            <w:pPr>
              <w:pStyle w:val="Compact"/>
            </w:pPr>
            <w:r>
              <w:t xml:space="preserve">The psalm closes as a call to the congregation; the individual’s journey maps the community’s posture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rPr>
                <w:b/>
                <w:bCs/>
              </w:rPr>
              <w:t xml:space="preserve">Petition and Foundational Confidence</w:t>
            </w:r>
            <w:r>
              <w:t xml:space="preserve"> </w:t>
            </w:r>
            <w:r>
              <w:t xml:space="preserve">— Taking refuge, surrendering the spirit, confessing God’s steadfast love</w:t>
            </w:r>
          </w:p>
        </w:tc>
      </w:tr>
      <w:tr>
        <w:tc>
          <w:tcPr/>
          <w:p>
            <w:pPr>
              <w:pStyle w:val="Compact"/>
            </w:pPr>
            <w:r>
              <w:t xml:space="preserve">2</w:t>
            </w:r>
          </w:p>
        </w:tc>
        <w:tc>
          <w:tcPr/>
          <w:p>
            <w:pPr>
              <w:pStyle w:val="Compact"/>
            </w:pPr>
            <w:r>
              <w:t xml:space="preserve">9–13</w:t>
            </w:r>
          </w:p>
        </w:tc>
        <w:tc>
          <w:tcPr/>
          <w:p>
            <w:pPr>
              <w:pStyle w:val="Compact"/>
            </w:pPr>
            <w:r>
              <w:rPr>
                <w:b/>
                <w:bCs/>
              </w:rPr>
              <w:t xml:space="preserve">The Depths of Lament</w:t>
            </w:r>
            <w:r>
              <w:t xml:space="preserve"> </w:t>
            </w:r>
            <w:r>
              <w:t xml:space="preserve">— Physical, social, and communal abandonment; the darkest valley</w:t>
            </w:r>
          </w:p>
        </w:tc>
      </w:tr>
      <w:tr>
        <w:tc>
          <w:tcPr/>
          <w:p>
            <w:pPr>
              <w:pStyle w:val="Compact"/>
            </w:pPr>
            <w:r>
              <w:t xml:space="preserve">3</w:t>
            </w:r>
          </w:p>
        </w:tc>
        <w:tc>
          <w:tcPr/>
          <w:p>
            <w:pPr>
              <w:pStyle w:val="Compact"/>
            </w:pPr>
            <w:r>
              <w:t xml:space="preserve">14–18</w:t>
            </w:r>
          </w:p>
        </w:tc>
        <w:tc>
          <w:tcPr/>
          <w:p>
            <w:pPr>
              <w:pStyle w:val="Compact"/>
            </w:pPr>
            <w:r>
              <w:rPr>
                <w:b/>
                <w:bCs/>
              </w:rPr>
              <w:t xml:space="preserve">The Volitional Pivot</w:t>
            </w:r>
            <w:r>
              <w:t xml:space="preserve"> </w:t>
            </w:r>
            <w:r>
              <w:t xml:space="preserve">—</w:t>
            </w:r>
            <w:r>
              <w:t xml:space="preserve"> </w:t>
            </w:r>
            <w:r>
              <w:t xml:space="preserve">“But I trust in you”</w:t>
            </w:r>
            <w:r>
              <w:t xml:space="preserve"> </w:t>
            </w:r>
            <w:r>
              <w:t xml:space="preserve">— confession of sovereignty, renewed petition</w:t>
            </w:r>
          </w:p>
        </w:tc>
      </w:tr>
      <w:tr>
        <w:tc>
          <w:tcPr/>
          <w:p>
            <w:pPr>
              <w:pStyle w:val="Compact"/>
            </w:pPr>
            <w:r>
              <w:t xml:space="preserve">4</w:t>
            </w:r>
          </w:p>
        </w:tc>
        <w:tc>
          <w:tcPr/>
          <w:p>
            <w:pPr>
              <w:pStyle w:val="Compact"/>
            </w:pPr>
            <w:r>
              <w:t xml:space="preserve">19–22</w:t>
            </w:r>
          </w:p>
        </w:tc>
        <w:tc>
          <w:tcPr/>
          <w:p>
            <w:pPr>
              <w:pStyle w:val="Compact"/>
            </w:pPr>
            <w:r>
              <w:rPr>
                <w:b/>
                <w:bCs/>
              </w:rPr>
              <w:t xml:space="preserve">Anticipatory Praise and Personal Testimony</w:t>
            </w:r>
            <w:r>
              <w:t xml:space="preserve"> </w:t>
            </w:r>
            <w:r>
              <w:t xml:space="preserve">— God’s stored goodness, His faithfulness in the worst</w:t>
            </w:r>
          </w:p>
        </w:tc>
      </w:tr>
      <w:tr>
        <w:tc>
          <w:tcPr/>
          <w:p>
            <w:pPr>
              <w:pStyle w:val="Compact"/>
            </w:pPr>
            <w:r>
              <w:t xml:space="preserve">5</w:t>
            </w:r>
          </w:p>
        </w:tc>
        <w:tc>
          <w:tcPr/>
          <w:p>
            <w:pPr>
              <w:pStyle w:val="Compact"/>
            </w:pPr>
            <w:r>
              <w:t xml:space="preserve">23–24</w:t>
            </w:r>
          </w:p>
        </w:tc>
        <w:tc>
          <w:tcPr/>
          <w:p>
            <w:pPr>
              <w:pStyle w:val="Compact"/>
            </w:pPr>
            <w:r>
              <w:rPr>
                <w:b/>
                <w:bCs/>
              </w:rPr>
              <w:t xml:space="preserve">Corporate Exhortation</w:t>
            </w:r>
            <w:r>
              <w:t xml:space="preserve"> </w:t>
            </w:r>
            <w:r>
              <w:t xml:space="preserve">— The individual’s journey becomes a charge to the congregation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as sovereign refuge receives the trust of His people even through unresolved suffering and abandonment.</w:t>
      </w:r>
    </w:p>
    <w:p>
      <w:pPr>
        <w:pStyle w:val="BodyText"/>
      </w:pPr>
      <w:r>
        <w:rPr>
          <w:b/>
          <w:bCs/>
        </w:rPr>
        <w:t xml:space="preserve">Primary Claim:</w:t>
      </w:r>
      <w:r>
        <w:t xml:space="preserve"> </w:t>
      </w:r>
      <w:r>
        <w:t xml:space="preserve">God is calling His people to take refuge in Him — not after the darkness lifts, but as a volitional confession</w:t>
      </w:r>
      <w:r>
        <w:t xml:space="preserve"> </w:t>
      </w:r>
      <w:r>
        <w:rPr>
          <w:i/>
          <w:iCs/>
        </w:rPr>
        <w:t xml:space="preserve">within</w:t>
      </w:r>
      <w:r>
        <w:t xml:space="preserve"> </w:t>
      </w:r>
      <w:r>
        <w:t xml:space="preserve">it — because He holds their times and will not abandon those who cry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 trust actually is.</w:t>
      </w:r>
      <w:r>
        <w:t xml:space="preserve"> </w:t>
      </w:r>
      <w:r>
        <w:t xml:space="preserve">Most people believe trust is a feeling that arrives when circumstances improve or when they feel confident. Psalm 31:14 corrects this at the root:</w:t>
      </w:r>
      <w:r>
        <w:t xml:space="preserve"> </w:t>
      </w:r>
      <w:r>
        <w:t xml:space="preserve">“But I trust in you”</w:t>
      </w:r>
      <w:r>
        <w:t xml:space="preserve"> </w:t>
      </w:r>
      <w:r>
        <w:t xml:space="preserve">is spoken in the middle of physical deterioration, social abandonment, and organized lethal opposition. David does not feel his way into trust — he confesses his way in. The psalm calls you to understand that trust is a theological declaration made</w:t>
      </w:r>
      <w:r>
        <w:t xml:space="preserve"> </w:t>
      </w:r>
      <w:r>
        <w:rPr>
          <w:i/>
          <w:iCs/>
        </w:rPr>
        <w:t xml:space="preserve">against</w:t>
      </w:r>
      <w:r>
        <w:t xml:space="preserve"> </w:t>
      </w:r>
      <w:r>
        <w:t xml:space="preserve">your circumstances, grounded in God’s character rather than in the legibility of your situation. If you are waiting to feel trusting before you say</w:t>
      </w:r>
      <w:r>
        <w:t xml:space="preserve"> </w:t>
      </w:r>
      <w:r>
        <w:t xml:space="preserve">“You are my God,”</w:t>
      </w:r>
      <w:r>
        <w:t xml:space="preserve"> </w:t>
      </w:r>
      <w:r>
        <w:t xml:space="preserve">you have misunderstood what faith is. The prayer comes before the feeling.</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Bring the worst of it into the room with God.</w:t>
      </w:r>
      <w:r>
        <w:t xml:space="preserve"> </w:t>
      </w:r>
      <w:r>
        <w:t xml:space="preserve">Verses 9–13 are not polite. David describes eyes wasted from grief, strength failing, bones wasting, neighbors recoiling, friends avoiding him, being forgotten like a dead man. He says all of this</w:t>
      </w:r>
      <w:r>
        <w:t xml:space="preserve"> </w:t>
      </w:r>
      <w:r>
        <w:rPr>
          <w:i/>
          <w:iCs/>
        </w:rPr>
        <w:t xml:space="preserve">to God</w:t>
      </w:r>
      <w:r>
        <w:t xml:space="preserve">. The psalm gives you permission — more than permission, a model — to bring the unedited, unresolved, unsanitized reality of your suffering into God’s presence. The danger for many believers is that they perform a tidied-up version of their pain before God, hoping He will find it acceptable. The psalmist never does this. Cultivate a worship and prayer life that brings your actual condition, not the condition you think God wants to hear about. The God of Psalm 31 does not need you to clean up your lament before presenting it to Him.</w:t>
      </w:r>
    </w:p>
    <w:p>
      <w:pPr>
        <w:pStyle w:val="BodyText"/>
      </w:pPr>
      <w:r>
        <w:t xml:space="preserve">**3.</w:t>
      </w:r>
      <w:r>
        <w:t xml:space="preserve"> </w:t>
      </w:r>
      <w:r>
        <w:rPr>
          <w:i/>
          <w:iCs/>
        </w:rPr>
        <w:t xml:space="preserve">(Will/Behavior)</w:t>
      </w:r>
      <w:r>
        <w:t xml:space="preserve"> </w:t>
      </w:r>
      <w:r>
        <w:t xml:space="preserve">Make the sovereignty confession before you feel it.*</w:t>
      </w:r>
      <w:r>
        <w:t xml:space="preserve"> </w:t>
      </w:r>
      <w:r>
        <w:t xml:space="preserve">“My times are in your hand”</w:t>
      </w:r>
      <w:r>
        <w:t xml:space="preserve"> </w:t>
      </w:r>
      <w:r>
        <w:t xml:space="preserve">(v. 15) is not a conclusion David reaches after surveying his circumstances and finding them manageable. It is a declaration he makes while his enemies are plotting against his life. The practical application is this: identify the specific situation in which you are currently tempted to conclude that God has lost the thread, that things are out of control, or that the timing is wrong. Now say — verbally, to God —</w:t>
      </w:r>
      <w:r>
        <w:t xml:space="preserve"> </w:t>
      </w:r>
      <w:r>
        <w:t xml:space="preserve">“My times are in your hand.”</w:t>
      </w:r>
      <w:r>
        <w:t xml:space="preserve"> </w:t>
      </w:r>
      <w:r>
        <w:t xml:space="preserve">Do not wait until it feels true. Say it because it is true, and say it in the specific form that addresses your specific temptation. This is not positive thinking — it is covenant recollection, the same act David performs in verse 14.</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Let Jesus’ use of this psalm reorient your understanding of His suffering.</w:t>
      </w:r>
      <w:r>
        <w:t xml:space="preserve"> </w:t>
      </w:r>
      <w:r>
        <w:t xml:space="preserve">When Jesus cries</w:t>
      </w:r>
      <w:r>
        <w:t xml:space="preserve"> </w:t>
      </w:r>
      <w:r>
        <w:t xml:space="preserve">“Into your hand I commit my spirit”</w:t>
      </w:r>
      <w:r>
        <w:t xml:space="preserve"> </w:t>
      </w:r>
      <w:r>
        <w:t xml:space="preserve">from the cross (Luke 23:46 / Ps. 31:5), He is not improvising a new prayer — He is praying the prayer of every sufferer who has ever been abandoned, falsely accused, and left for dead. He enters the full depth of Psalm 31:9–13 — not symbolically but actually. This should produce a specific form of worship: gratitude that the God who calls you to trust Him in the darkness has Himself been there, not as an observer but as the one fully surrendered into the Father’s hands. Christ’s use of this psalm means your worst moment is not foreign to Him. He has been further into the dark than you will ever go, and He went there for you.</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Use your experience of God’s faithfulness as a resource for your community.</w:t>
      </w:r>
      <w:r>
        <w:t xml:space="preserve"> </w:t>
      </w:r>
      <w:r>
        <w:t xml:space="preserve">Verses 23–24 are remarkable: David’s personal suffering becomes the launchpad for a corporate charge —</w:t>
      </w:r>
      <w:r>
        <w:t xml:space="preserve"> </w:t>
      </w:r>
      <w:r>
        <w:t xml:space="preserve">“Be strong and let your heart take courage, all you who wait for the LORD.”</w:t>
      </w:r>
      <w:r>
        <w:t xml:space="preserve"> </w:t>
      </w:r>
      <w:r>
        <w:t xml:space="preserve">The psalm closes as David addressing the congregation, not the LORD. The application is direct: if you have passed through a season of darkness and arrived at the praise of verses 19–22 — if you can say</w:t>
      </w:r>
      <w:r>
        <w:t xml:space="preserve"> </w:t>
      </w:r>
      <w:r>
        <w:t xml:space="preserve">“even when I said in my alarm,</w:t>
      </w:r>
      <w:r>
        <w:t xml:space="preserve"> </w:t>
      </w:r>
      <w:r>
        <w:t xml:space="preserve">‘I am cut off,’</w:t>
      </w:r>
      <w:r>
        <w:t xml:space="preserve"> </w:t>
      </w:r>
      <w:r>
        <w:t xml:space="preserve">He heard my plea”</w:t>
      </w:r>
      <w:r>
        <w:t xml:space="preserve"> </w:t>
      </w:r>
      <w:r>
        <w:t xml:space="preserve">— then you are not merely a recipient of comfort. You are now a resource for the community. The testimony of verse 22 is meant to be spoken. Identify someone in your congregation who is currently in verses 9–13, and go be verse 22 to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31 teaches that God’s sovereignty is not an abstract doctrine but a pastoral anchor —</w:t>
      </w:r>
      <w:r>
        <w:t xml:space="preserve"> </w:t>
      </w:r>
      <w:r>
        <w:t xml:space="preserve">“my times are in your hand”</w:t>
      </w:r>
      <w:r>
        <w:t xml:space="preserve"> </w:t>
      </w:r>
      <w:r>
        <w:t xml:space="preserve">(v. 15) is a confession that God governs not just the universe in general but the specific moment, the specific timing, the specific outcome of this life in this crisis. The psalm establishes that God’s</w:t>
      </w:r>
      <w:r>
        <w:t xml:space="preserve"> </w:t>
      </w:r>
      <w:r>
        <w:rPr>
          <w:i/>
          <w:iCs/>
        </w:rPr>
        <w:t xml:space="preserve">ḥesed</w:t>
      </w:r>
      <w:r>
        <w:t xml:space="preserve"> </w:t>
      </w:r>
      <w:r>
        <w:t xml:space="preserve">(steadfast covenant love) is not contingent on circumstances being favorable — it is stored up in advance (v. 19), operative even in besieged cities (v. 21), and active even when the believer has concluded he is cut off (v. 22). The God of Psalm 31 is not a God who responds to improving conditions; He is a God who acts toward His people from His own character, on His own timing, in the depths as well as on the heights. His faithfulness precedes the prayer that appeals to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31 is a sustained exhibition of grace preceding and grounding faith — David does not generate trust from within himself and then present it to God; he takes refuge in the God whose character and covenant provide the only stable ground for trust at all. The idol-contrast of verses 6–7 (</w:t>
      </w:r>
      <w:r>
        <w:t xml:space="preserve">“those who pay regard to vain idols”</w:t>
      </w:r>
      <w:r>
        <w:t xml:space="preserve"> </w:t>
      </w:r>
      <w:r>
        <w:t xml:space="preserve">vs. the one who trusts in the LORD’s steadfast love) maps directly onto the Reformed diagnosis of the human heart: the presenting issue is always competing refuges, false saviors, misplaced loyalties that promise security they cannot deliver. The psalm calls the worshiper to see that the alternative to trusting God is not neutrality but idolatry — trusting something else that will fail. The Christological fulfillment in Luke 23:46 grounds the psalm’s call to trust within the Reformed theology of union with Christ: believers are called to make the confession of verse 5 because Christ has already made it definitively, passing through the full depth of forsakenness and emerging in resurrection vindication. The pattern of Psalm 31 — lament, confession, anticipatory praise, corporate exhortation — is the pattern of the Christian life in the already-not-yet: living in the tension between the cross and the consummation, confessing God’s sovereignty before it is visible, praising before the deliverance is complete.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asking you to trust Him after the darkness lifts. He is asking you to say — right now, mid-crisis, mid-abandonment, mid-waiting —</w:t>
      </w:r>
      <w:r>
        <w:t xml:space="preserve"> </w:t>
      </w:r>
      <w:r>
        <w:t xml:space="preserve">“You are my God; my times are in your hand.”</w:t>
      </w:r>
      <w:r>
        <w:t xml:space="preserve"> </w:t>
      </w:r>
      <w:r>
        <w:t xml:space="preserve">That is not a feeling. It is a confession. David made it while his enemies were plotting his death. Jesus made it while dying. The question Psalm 31 puts to you is not whether your circumstances are manageable but whether you believe God holds them — and whether you are willing to say so before you feel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the praise section as post-crisis relief.</w:t>
      </w:r>
      <w:r>
        <w:t xml:space="preserve"> </w:t>
      </w:r>
      <w:r>
        <w:t xml:space="preserve">The most common homiletical error with Psalm 31 is treating the movement from lament to praise as a narrative of circumstances improving: David suffered, then God delivered, then David praised. This flattens the psalm’s most important feature. The pivot in verse 14 is mid-crisis and volitional, not post-deliverance and emotional. Verses 19–24 are anticipatory and confessional. Preaching that implies</w:t>
      </w:r>
      <w:r>
        <w:t xml:space="preserve"> </w:t>
      </w:r>
      <w:r>
        <w:t xml:space="preserve">“if you trust God, your situation will improve and then you will feel like praising”</w:t>
      </w:r>
      <w:r>
        <w:t xml:space="preserve"> </w:t>
      </w:r>
      <w:r>
        <w:t xml:space="preserve">trains congregations to make praise contingent on circumstances — which is not what this psalm teaches and will produce profound pastoral damage when circumstances do not change.</w:t>
      </w:r>
    </w:p>
    <w:p>
      <w:pPr>
        <w:numPr>
          <w:ilvl w:val="0"/>
          <w:numId w:val="1002"/>
        </w:numPr>
      </w:pPr>
      <w:r>
        <w:rPr>
          <w:b/>
          <w:bCs/>
        </w:rPr>
        <w:t xml:space="preserve">Skipping or softening the lament section.</w:t>
      </w:r>
      <w:r>
        <w:t xml:space="preserve"> </w:t>
      </w:r>
      <w:r>
        <w:t xml:space="preserve">Verses 9–13 are among the most unguarded expressions of pain in the Psalter — physical deterioration, social abandonment, being forgotten like a dead man, active lethal conspiracy. Preachers tempted to move quickly to the pivot in verse 14 rob the congregation of the psalm’s essential pastoral gift: that this depth of anguish is a legitimate address to God, that the prayer of the person who feels forgotten and abandoned is not less faithful but is specifically what Psalm 31 is for. Omitting the lament produces a truncated gospel that has no word for people in the pit.</w:t>
      </w:r>
    </w:p>
    <w:p>
      <w:pPr>
        <w:numPr>
          <w:ilvl w:val="0"/>
          <w:numId w:val="1002"/>
        </w:numPr>
      </w:pPr>
      <w:r>
        <w:rPr>
          <w:b/>
          <w:bCs/>
        </w:rPr>
        <w:t xml:space="preserve">Treating verse 5 only as a devotional comfort without its Christological weight.</w:t>
      </w:r>
      <w:r>
        <w:t xml:space="preserve"> </w:t>
      </w:r>
      <w:r>
        <w:t xml:space="preserve">“Into your hand I commit my spirit”</w:t>
      </w:r>
      <w:r>
        <w:t xml:space="preserve"> </w:t>
      </w:r>
      <w:r>
        <w:t xml:space="preserve">is immensely beloved and frequently cited in devotional contexts as a bedtime prayer or a comfort at death. This is not wrong, but it is thin. Jesus’ quotation of this verse from the cross (Luke 23:46) means that the act of surrender described in verse 5 has been fully inhabited by the Son of God in His darkest moment. Preaching that treats this verse only as a comfort-at-death misses its full power: Christ has been to the place this verse describes, fully and finally, and His surrender was vindicated in resurrection. Believers make this confession in union with Christ, not merely in imitation of David.</w:t>
      </w:r>
    </w:p>
    <w:p>
      <w:pPr>
        <w:numPr>
          <w:ilvl w:val="0"/>
          <w:numId w:val="1002"/>
        </w:numPr>
      </w:pPr>
      <w:r>
        <w:rPr>
          <w:b/>
          <w:bCs/>
        </w:rPr>
        <w:t xml:space="preserve">Missing the idol-diagnosis in verses 6–7.</w:t>
      </w:r>
      <w:r>
        <w:t xml:space="preserve"> </w:t>
      </w:r>
      <w:r>
        <w:t xml:space="preserve">The contrast between</w:t>
      </w:r>
      <w:r>
        <w:t xml:space="preserve"> </w:t>
      </w:r>
      <w:r>
        <w:t xml:space="preserve">“those who pay regard to vain idols”</w:t>
      </w:r>
      <w:r>
        <w:t xml:space="preserve"> </w:t>
      </w:r>
      <w:r>
        <w:t xml:space="preserve">and the one who trusts in God’s steadfast love is not incidental — it is the psalm’s diagnosis of the alternative to trust. The question is never simply</w:t>
      </w:r>
      <w:r>
        <w:t xml:space="preserve"> </w:t>
      </w:r>
      <w:r>
        <w:t xml:space="preserve">“do you trust God?”</w:t>
      </w:r>
      <w:r>
        <w:t xml:space="preserve"> </w:t>
      </w:r>
      <w:r>
        <w:t xml:space="preserve">but</w:t>
      </w:r>
      <w:r>
        <w:t xml:space="preserve"> </w:t>
      </w:r>
      <w:r>
        <w:t xml:space="preserve">“what are you trusting instead?”</w:t>
      </w:r>
      <w:r>
        <w:t xml:space="preserve"> </w:t>
      </w:r>
      <w:r>
        <w:t xml:space="preserve">Preaching that exhorts trust without diagnosing the competing refuges — the outcomes people are actually trusting, the relationships or achievements or securities that are functioning as saviors — leaves the congregation with an imperative and no map to its root. The idol-contrast should be developed as part of the application.</w:t>
      </w:r>
    </w:p>
    <w:p>
      <w:pPr>
        <w:numPr>
          <w:ilvl w:val="0"/>
          <w:numId w:val="1002"/>
        </w:numPr>
      </w:pPr>
      <w:r>
        <w:rPr>
          <w:b/>
          <w:bCs/>
        </w:rPr>
        <w:t xml:space="preserve">Failing to make the corporate movement of verses 23–24 load-bearing.</w:t>
      </w:r>
      <w:r>
        <w:t xml:space="preserve"> </w:t>
      </w:r>
      <w:r>
        <w:t xml:space="preserve">Psalm 31 does not end with personal comfort. It ends with David turning to the congregation and issuing a charge:</w:t>
      </w:r>
      <w:r>
        <w:t xml:space="preserve"> </w:t>
      </w:r>
      <w:r>
        <w:t xml:space="preserve">“Love the LORD, all you His saints… be strong and let your heart take courage.”</w:t>
      </w:r>
      <w:r>
        <w:t xml:space="preserve"> </w:t>
      </w:r>
      <w:r>
        <w:t xml:space="preserve">This is a significant theological and pastoral move: the individual’s suffering becomes a resource for the community; the testimony of verses 21–22 is not privatized but spoken. Preaching that ends with personal application and misses the corporate charge has stopped one stanza short. The psalm commissions those who have passed through the darkness to become a word to those still in it.</w:t>
      </w:r>
    </w:p>
    <w:p>
      <w:pPr>
        <w:numPr>
          <w:ilvl w:val="0"/>
          <w:numId w:val="1002"/>
        </w:numPr>
      </w:pPr>
      <w:r>
        <w:rPr>
          <w:b/>
          <w:bCs/>
        </w:rPr>
        <w:t xml:space="preserve">Abstracting</w:t>
      </w:r>
      <w:r>
        <w:rPr>
          <w:b/>
          <w:bCs/>
        </w:rPr>
        <w:t xml:space="preserve"> </w:t>
      </w:r>
      <w:r>
        <w:rPr>
          <w:b/>
          <w:bCs/>
        </w:rPr>
        <w:t xml:space="preserve">“my times are in your hand”</w:t>
      </w:r>
      <w:r>
        <w:rPr>
          <w:b/>
          <w:bCs/>
        </w:rPr>
        <w:t xml:space="preserve"> </w:t>
      </w:r>
      <w:r>
        <w:rPr>
          <w:b/>
          <w:bCs/>
        </w:rPr>
        <w:t xml:space="preserve">(v. 15) into generic providential comfort.</w:t>
      </w:r>
      <w:r>
        <w:t xml:space="preserve"> </w:t>
      </w:r>
      <w:r>
        <w:t xml:space="preserve">Verse 15 is frequently quoted as a general encouragement about God’s sovereignty — a warm assurance that everything will be fine. But in its context,</w:t>
      </w:r>
      <w:r>
        <w:t xml:space="preserve"> </w:t>
      </w:r>
      <w:r>
        <w:t xml:space="preserve">“my times”</w:t>
      </w:r>
      <w:r>
        <w:t xml:space="preserve"> </w:t>
      </w:r>
      <w:r>
        <w:t xml:space="preserve">is spoken while enemies are plotting and physical deterioration is underway. The verse is not a comfortable generality; it is a specific confession of God’s sovereignty over the timing and outcome of a situation that is actively threatening. Preaching this verse without the surrounding pressure strips it of its point — it is precisely because the situation is not fine that confessing</w:t>
      </w:r>
      <w:r>
        <w:t xml:space="preserve"> </w:t>
      </w:r>
      <w:r>
        <w:t xml:space="preserve">“my times are in your hand”</w:t>
      </w:r>
      <w:r>
        <w:t xml:space="preserve"> </w:t>
      </w:r>
      <w:r>
        <w:t xml:space="preserve">requires faith rather than observation.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2026-07-14T21:04:40Z</dcterms:created>
  <dcterms:modified xsi:type="dcterms:W3CDTF">2026-07-14T21:04:40Z</dcterms:modified>
</cp:coreProperties>
</file>

<file path=docProps/custom.xml><?xml version="1.0" encoding="utf-8"?>
<Properties xmlns="http://schemas.openxmlformats.org/officeDocument/2006/custom-properties" xmlns:vt="http://schemas.openxmlformats.org/officeDocument/2006/docPropsVTypes"/>
</file>